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E4" w:rsidRDefault="00F21C33" w:rsidP="003A20E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43A40"/>
          <w:sz w:val="36"/>
          <w:szCs w:val="36"/>
          <w:lang w:eastAsia="ru-RU"/>
        </w:rPr>
      </w:pPr>
      <w:r w:rsidRPr="003A20E4">
        <w:rPr>
          <w:rFonts w:ascii="Times New Roman" w:eastAsia="Times New Roman" w:hAnsi="Times New Roman" w:cs="Times New Roman"/>
          <w:b/>
          <w:color w:val="343A40"/>
          <w:sz w:val="36"/>
          <w:szCs w:val="36"/>
          <w:lang w:eastAsia="ru-RU"/>
        </w:rPr>
        <w:t>История административно-территориального деления Петрограда - Ленинграда - Санкт-</w:t>
      </w:r>
      <w:r w:rsidR="003A20E4" w:rsidRPr="003A20E4">
        <w:rPr>
          <w:rFonts w:ascii="Times New Roman" w:eastAsia="Times New Roman" w:hAnsi="Times New Roman" w:cs="Times New Roman"/>
          <w:b/>
          <w:color w:val="343A40"/>
          <w:sz w:val="36"/>
          <w:szCs w:val="36"/>
          <w:lang w:eastAsia="ru-RU"/>
        </w:rPr>
        <w:t>П</w:t>
      </w:r>
      <w:r w:rsidRPr="003A20E4">
        <w:rPr>
          <w:rFonts w:ascii="Times New Roman" w:eastAsia="Times New Roman" w:hAnsi="Times New Roman" w:cs="Times New Roman"/>
          <w:b/>
          <w:color w:val="343A40"/>
          <w:sz w:val="36"/>
          <w:szCs w:val="36"/>
          <w:lang w:eastAsia="ru-RU"/>
        </w:rPr>
        <w:t>етербурга</w:t>
      </w:r>
    </w:p>
    <w:p w:rsidR="00F21C33" w:rsidRPr="003A20E4" w:rsidRDefault="00F21C33" w:rsidP="003A20E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43A40"/>
          <w:sz w:val="36"/>
          <w:szCs w:val="36"/>
          <w:lang w:eastAsia="ru-RU"/>
        </w:rPr>
      </w:pPr>
      <w:r w:rsidRPr="003A20E4">
        <w:rPr>
          <w:rFonts w:ascii="Times New Roman" w:eastAsia="Times New Roman" w:hAnsi="Times New Roman" w:cs="Times New Roman"/>
          <w:b/>
          <w:color w:val="343A40"/>
          <w:sz w:val="36"/>
          <w:szCs w:val="36"/>
          <w:lang w:eastAsia="ru-RU"/>
        </w:rPr>
        <w:t>(1917-2001)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 1917 г. столица Российской империи не имела законно установленных городских границ (межу); план генерального межевания, межевая книга Петрограда, несмотря на многочисленные попытки, так и не были составлены.</w:t>
      </w:r>
      <w:hyperlink r:id="rId6" w:anchor="footNote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Внутренние кварталы города, совпадающие с полицейскими частями, определялись планами "урегулирования", последний из которых был утвержден императором Александром II в 1880 г. Эти планы составлялись в интересах соблюдения порядка и благоустройства города, они не являлись официальными документами, бесспорно устанавлив</w:t>
      </w:r>
      <w:bookmarkStart w:id="0" w:name="_GoBack"/>
      <w:bookmarkEnd w:id="0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 принадлежность к городу тех или иных территорий. Планы, издаваемые Городской думой в 1895-1917 гг., представляли собой копии плана урегулирования 1880 г. с небольшими изменениями. </w:t>
      </w:r>
      <w:hyperlink r:id="rId7" w:anchor="footNote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Петрограда в 1917 г. делилась на полицейские части: Адмиралтейская, Александро-Невская, Васильевская (Василеостровская), Выборгская, Казанская, Коломенская, Литейная, Московская, Нарвская, Петербургская (Петроградская),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Рождественная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Спасская. К ним примыкали 7 пригородных участков: Александровский, Лесной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(Охтинский),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Палюстровский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Петергофский, Шлиссельбургский. При этом территории двух участков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Охтинского) частично входили в состав городских территорий, а частично числились пригородными. Пригородные участки по административным вопросам подчинялись Петроградскому градоначальству, а по хозяйственным - уездным властям (земствам); Охтинский пригородный участок имел собственное упрощенное городское управление. </w:t>
      </w:r>
      <w:hyperlink r:id="rId8" w:anchor="footNote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Февральской революции и ликвидации полиции вместо частей и участков образовались административные районы. 24 марта 1917 г. Городская дума одобрила "Временное положение о районных думах Петрограда", где, в частности, говорилось: "Территория г. Петрограда в пределах петроградского градоначальства делится на районы, соответствующие нынешним частям города". Были созданы следующие районы: Адмиралтейский, Александро-Невский, Васильевский (Василеостровский), Выборгский, Казанский, Коломенский, Лесной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Лесновско-Удельнинский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Литейный, Московский, Нарвский, Невский,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(Охтинский), Петроградский, Петергофский,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Рождественский, Спасский. </w:t>
      </w:r>
      <w:hyperlink r:id="rId9" w:anchor="footNote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Временного правительства от 15 июля 1917 г. все пригородные участки и входящие в их состав населенные пункты должны были быть присоединены к Петрограду, однако 5 августа 1917 г. правительство признало новые границы города "временными" и обязало министра внутренних дел решить этот вопрос совместно с уездными властями. </w:t>
      </w:r>
      <w:hyperlink r:id="rId10" w:anchor="footNote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 при Советской власти постановление от 15 июля было фактически подтверждено Комиссариатом юстиции Союза коммун Северной области, опубликовавшим это решение Временного правительства в своем официальном сборнике.</w:t>
      </w:r>
      <w:hyperlink r:id="rId11" w:anchor="footNote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 не менее, реальное присоединение некоторых пригородных населенных пунктов растянулось почти на десять лет и закончилось в 1930 г.</w:t>
      </w:r>
      <w:hyperlink r:id="rId12" w:anchor="footNote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постановлением от 5 августа 1917 г. Временное правительство распорядилось присоединить к Петрограду Крестовский остров и дер. Ново-Крестовскую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Стародеревенской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волости Петроградского уезда.</w:t>
      </w:r>
      <w:hyperlink r:id="rId13" w:anchor="footNote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Помимо административных районов в Петрограде, начиная с 27 февраля 1917 г., стали создаваться "советские" районы (на базе "партийных") во главе с районными Советами рабочих и солдатских депутатов. Их территория в основном совпадала с административными районами, но не всегда. В феврале-декабре 1917 г. существовали следующие советские районы: Адмиралтейский (выделился в сентябре 1917 г. из состава 2-го Городского района), Василеостровский, 1-й Городской (объединял Литейную, Рождественскую, Александро-Невскую и Московскую части), 2-й Городской (объединял Адмиралтейскую, Казанскую, Спасскую и Коломенскую части), Казанский (существовал в апреле-октябре 1917 г., влился во 2-й Городской район), Коломенский (существовал в марте-ноябре 1917 г., влился во 2-й Городской район), Литейный (существовал в мае-июне 1917 г., влился в 1-й Городской район), Нарвский, Невский (образован на территории Шлиссельбургского участка),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(выделился в декабре 1917 г. из состава Выборгского района),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(образован на территории Александровского участка), Охтинский, Петергофский, Петроградский,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Рождественский, Спасский. </w:t>
      </w:r>
      <w:hyperlink r:id="rId14" w:anchor="footNote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9.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1918 г. Невский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были объединены в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Невско-Обуховский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  <w:hyperlink r:id="rId15" w:anchor="footNote1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10.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городе остались 14 районов: Адмиралтейский, Василеостровский, Выборгский, 1 -й Городской, 2-й Городской, Нарвский,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Невско-Обуховский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(Невский),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Охтинский, Петергофский, Петроградский,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Рождественский и Спасский. В октябре 1918 г. Адмиралтейский район влился в состав 2-го Городского.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находившейся вблизи города Московской волости Петроградского уезда (деревни Автово,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Волынкино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Тентелева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село Смоленское, Вологодско-Ямская слобода) в марте-мае 1919 г. были включены в черту Петергофского и 1 -го Городского районов Петрограда; официально присоединение было утверждено 23 октября 1923 г.</w:t>
      </w:r>
      <w:hyperlink r:id="rId16" w:anchor="footNote1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11.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1926 г. Вологодско-Ямская слобода перешла в состав Урицкой волости Ленинградского уезда.</w:t>
      </w:r>
      <w:hyperlink r:id="rId17" w:anchor="footNote1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12.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постоянной комиссии при Комиссариате внутренних дел Союза Коммун Северной области по рассмотрению и разрешению ходатайств колоний, посёлков, волостей и других местных единиц о присоединении их к Петрограду или Петроградскому уезду от 23 апреля 1919 г. селения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Рылеево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Рылеевской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волости и Волково Московской волости Петроградского уезда вошли в состав 1-го Городского района Петрограда.</w:t>
      </w:r>
      <w:hyperlink r:id="rId18" w:anchor="footNote1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исполкома Петроградского Совета от 24 июня 1919 г. была произведена реорганизация районов города: Охтинский и Рождественский были объединены в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Нарвский и Петергофский - в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Нарвско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-Петергофский; часть Нарвского района выделена в самостоятельный Московско-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(Московский) район; Спасский район был присоединён к 1-му Городскому району,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Петроградскому.</w:t>
      </w:r>
      <w:hyperlink r:id="rId19" w:anchor="footNote1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1919 г. Невский район стал называться районом имени тов. Володарского; окончательно он был переименован в Володарский район в 1920 г.</w:t>
      </w:r>
      <w:hyperlink r:id="rId20" w:anchor="footNote1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июля 1922 г. были ликвидированы 6 районов и вновь образованы два района. Были ликвидированы районы: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территория была присоединена к Выборгскому району),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(большая часть его была присоединена к Володарскому), 1-й и 2-й Городские районы, Московско-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Нарвско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-Петергофский. Образованы: Центральный городской район, в его </w:t>
      </w: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 вошли 2-й Городской, части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1 -го Городского районов, и Московско-Нарвский район, объединивший Московско-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Нарвско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-Петергофский и часть 1-го Городского районов.</w:t>
      </w:r>
      <w:hyperlink r:id="rId21" w:anchor="footNote1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16.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1922 г. завершила работу Междуведомственная комиссия при организационном отделе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 1920 г. занималась определением внешней границы Петрограда. Результаты её работы были утверждены Малым президиумом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августа и 22 сентября 1922 г., описание границ были опубликованы в "Вестнике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Петросовета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" 27 сентября 1922 г. и 4 апреля 1923 г., при этом граница оказалась несколько сжатой по сравнению с 1917 г.</w:t>
      </w:r>
      <w:hyperlink r:id="rId22" w:anchor="footNote1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Малого президиума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сентября 1922 г. деревни Клочки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Киновей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Ленинской волости Петроградского уезда отошли к Володарскому району. </w:t>
      </w:r>
      <w:hyperlink r:id="rId23" w:anchor="footNote1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18.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ряда населенных пунктов, вошедших в черту Петрограда по новой границе города, выступили против включения их в состав Петрограда и возбудили соответствующие ходатайства перед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губисполкомом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ВЦИК. Согласно постановлению президиума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января 1924 г. колония Новоалександровская была передана из Володарского района Петрограда в состав Октябрьской волости. </w:t>
      </w:r>
      <w:hyperlink r:id="rId24" w:anchor="footNote1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19.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постановлению президиума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апреля 1924 г. деревни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Коломяги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Алексеевское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-Алексеевское) из Петроградского района были переданы в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Парголовскую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волость.</w:t>
      </w:r>
      <w:hyperlink r:id="rId25" w:anchor="footNote2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20.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Деревня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с 1917 г. входившая в состав Володарского района, была отнесена к Октябрьской волости по решению Губернского землеустроительного совещания от 16 января 1925 г.</w:t>
      </w:r>
      <w:hyperlink r:id="rId26" w:anchor="footNote2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21.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Несмотря на постановление Президиума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Ленгубисполкома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 апреля 1925 г. о присоединении деревни к Володарскому району,</w:t>
      </w:r>
      <w:hyperlink r:id="rId27" w:anchor="footNote2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22.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 оставалась в ведении волостных властей до 1930 г. Селения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Пороховые, в 1922 г. отошедшие в Выборгский район, остались в составе Ленинской волости по постановлению Президиума ВЦИК от 21 июля 1924 г.</w:t>
      </w:r>
      <w:hyperlink r:id="rId28" w:anchor="footNote2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II Всесоюзного съезда Советов от 26 января 1924 г. город Петроград был переименован в Ленинград. </w:t>
      </w:r>
      <w:hyperlink r:id="rId29" w:anchor="footNote2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постановлениям Президиума ВЦИК от 11 января и 12 июля 1926 г. к Выборгскому району Ленинграда были присоединены селения Пороховые,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Ленинской волости Ленинградского уезда. </w:t>
      </w:r>
      <w:hyperlink r:id="rId30" w:anchor="footNote2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президиума Ленсовета от 17 мая 1930 г., утвержденному Президиумом ВЦИК 10 октября 1930 г., в Ленинграде было проведено разукрупнение районов: Московско-Нарвский район был разделен на Московский и Нарвский</w:t>
      </w:r>
      <w:proofErr w:type="gram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городской -на Городской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 </w:t>
      </w:r>
      <w:hyperlink r:id="rId31" w:anchor="footNote2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26.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президиума Ленсовета от 27 сентября 1930 г. Городской район был переименован в Октябрьский. </w:t>
      </w:r>
      <w:hyperlink r:id="rId32" w:anchor="footNote2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Президиума ВЦИК от 30 октября 1930 г. в черту Ленинграда были включены населенные пункты Пригородного района: Гражданка,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Коломяги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Озерки,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Пискаревка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Пороховые,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Вологодско-Ямская слобода.</w:t>
      </w:r>
      <w:hyperlink r:id="rId33" w:anchor="footNote2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28.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обращению ЦК ВКП(б) и СНК СССР от 3 декабря 1931 г. "О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жилищнокоммунальном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 Ленинграда" Ленинград (с Кронштадтом) был выделен из Ленинградской области в самостоятельный административно-хозяйственный центр </w:t>
      </w: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(город республиканского подчинения), Ленсовету был подчинен Пригородный район Ленинградской области.</w:t>
      </w:r>
      <w:hyperlink r:id="rId34" w:anchor="footNote2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29.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президиума Ленсовета от 27 декабря 1933 г.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был разделен на два новых района: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Центральный.</w:t>
      </w:r>
      <w:hyperlink r:id="rId35" w:anchor="footNote3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31.</w:t>
        </w:r>
      </w:hyperlink>
      <w:r w:rsidRPr="00F21C3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постановлению Президиума ЦИК СССР от 15 декабря 1934 г. Нарвский район был переименован в Кировский.</w:t>
      </w:r>
      <w:hyperlink r:id="rId36" w:anchor="footNote3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31.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президиума Ленсовета от 9 апреля 1936 г. вместо 9 было образовано 15 районов.</w:t>
      </w:r>
      <w:hyperlink r:id="rId37" w:anchor="footNote3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32.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Василеостровского района был выделен Свердловский, из Выборгского района - Красногвардейский, из Петроградского района - Приморский, из Кировского района - Ленинский. Из Центрального района и части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были образованы три новых района - Дзержинский, Куйбышевский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Границы Володарского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были изменены.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президиумов Ленсовета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августа 1936 г. "О ликвидации Ленинградского Пригородного района" города Колпино, Детское Село и Петергоф (с частью поселка Стрельна) были подчинены Ленинградскому Совету, но в территорию города не входили.</w:t>
      </w:r>
      <w:hyperlink r:id="rId38" w:anchor="footNote3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33.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постановление было утверждено Президиумом ВЦИК 1 октября 1936 г., а 5 июня 1938 г. Президиум ВЦИК согласился с организацией районных советов в городах Колпино, Детское Село и Петергоф с непосредственным подчинением их Ленсовету.</w:t>
      </w:r>
      <w:hyperlink r:id="rId39" w:anchor="footNote3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1936-1946 гг. в черту Ленинграда входили 15 районов: Василеостровский, Володарский, Выборгский, Дзержинский, Кировский, Красногвардейский, Куйбышевский, Ленинский, Московский, Октябрьский, Петроградский, Приморский, Свердловский,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Ленинградскому городскому Совету подчинялись города Детское Село (Пушкин), Колпино, Кронштадт и Петергоф (Петродворец), которые не входили в черту Ленинграда. </w:t>
      </w:r>
      <w:hyperlink r:id="rId40" w:anchor="footNote3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Президиума ВЦИК от 9 февраля 1937 г. город Детское Село был переименован </w:t>
      </w:r>
      <w:proofErr w:type="gram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Пушкин. </w:t>
      </w:r>
      <w:hyperlink r:id="rId41" w:anchor="footNote3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36.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Президиума ЦИК от 26 июля 1937 г. было принято предложение Ленсовета об организации районного Совета в городе Кронштадте. </w:t>
      </w:r>
      <w:hyperlink r:id="rId42" w:anchor="footNote3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1940 г. из состава Слуцкого района Ленинградской области в Московский район Ленинграда были включены рабочий поселок Авиагородок и населенный пункт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Ленмясокомбината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Кирова.</w:t>
      </w:r>
      <w:hyperlink r:id="rId43" w:anchor="footNote3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38.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1941 г. по 24 января 1944 г. были оккупированы немецко-фашистскими войсками.</w:t>
      </w:r>
      <w:hyperlink r:id="rId44" w:anchor="footNote3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39.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27 января 1944 г. город Петергоф был переименован в Петродворец.</w:t>
      </w:r>
      <w:hyperlink r:id="rId45" w:anchor="footNote4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40.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Совета Министров СССР от 30 июня 1946 г. Красногвардейский район Ленинграда был переименован в Калининский район. </w:t>
      </w:r>
      <w:hyperlink r:id="rId46" w:anchor="footNote4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41.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Указу Президиума Верховного Совета РСФСР от 21 августа 1946 г. был организован Курортный район Ленинграда с центром в городе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Териоки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района вошли: город областного подчинения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Териоки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курортные поселки Куоккала,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Келломяки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Келломякки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Тюресевя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населенные пункты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Метсякюля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Ваммельсуу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Ванхасаха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Анттала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Аттола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Лаутаранта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ранее относились к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Райволовскому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Ленинградской области. </w:t>
      </w:r>
      <w:hyperlink r:id="rId47" w:anchor="footNote4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42.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Город Сестрорецк Ленинградской области с населенными пунктами Разлив,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Тарховка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Александровская был подчинен непосредственно Ленгорисполкому</w:t>
      </w:r>
      <w:hyperlink r:id="rId48" w:anchor="footNote4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43.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дачные посёлки Куоккала,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Келломяки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населённый пункт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Тюресеви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отнесены к категории курортных посёлков. Территория Курортного района и Сестрорецка в городскую черту Ленинграда не входила.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Указу Президиума Верховного Совета РСФСР от 22 октября 1946 г. и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ноября 1946 г.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горсовет был реорганизован, 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Териокский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горсовет преобразован в Курортный райсовет.</w:t>
      </w:r>
      <w:hyperlink r:id="rId49" w:anchor="footNote4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1946-1959 гг. в городскую черту Ленинграда входили 15 районов: Василеостровский, Володарский, Выборгский, Дзержинский, Кировский, Красногвардейский, Куйбышевский, Ленинский, Московский, Октябрьский, Петроградский, Приморский, Свердловский,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Ленинградскому городскому Совету подчинялись города Колпино, Кронштадт, Павловск (с 1953 г.), Петродворец, Пушкин и Курортный район, которые не входили в черту Ленинграда. </w:t>
      </w:r>
      <w:hyperlink r:id="rId50" w:anchor="footNote4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Совета Министров СССР от 26 июня 1948 г. хозяйственное и культурно-бытовое обслуживание военно-морской базы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Порккала-Удд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(Финляндия) было возложено на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51" w:anchor="footNote4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46.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1 октября 1948 г.</w:t>
      </w:r>
      <w:hyperlink r:id="rId52" w:anchor="footNote4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47.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ряду населенным пунктам Курортного района были присвоены русские наименования: город Зеленогорск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Териоки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Ривиера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Оллинпя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Кескикюля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Рялляля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Репино (бывший Куоккала,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Тулокас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Канерва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Усикюля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Картано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Ахванайнен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Лутахянтя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Комарово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Келломяки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Тюресевя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Тойвола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Леппяненя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Тервасмяки,Орпола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Кякесенпя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Халонен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Дюны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Раяйоки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Хувила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Солнечное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Куоккала,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Курнойнен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Серово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Ваммелсуу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Ванхасаха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Анттала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Коннунниттю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Ахокас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Коскела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Куоппала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Харьюла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Ниемеля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мыза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Ваммелсун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Молодежное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Мятсякюля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Смолячково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Лаутаранта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Туллиниеми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Мятсякюля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Мякеля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Рихкова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Ховинмяки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Утунмяки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Сивинмяки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Суолконмяки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Марттиланмяки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Пухтула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Телли), пос.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Метсянвартия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Совета Министров СССР, опубликованному 23 октября 1948г., Приморский район Ленинграда был переименован в Ждановский.</w:t>
      </w:r>
      <w:hyperlink r:id="rId53" w:anchor="footNote4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48.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25 ноября 1948 г. Володарский район Ленинграда был переименован в Невский район.</w:t>
      </w:r>
      <w:hyperlink r:id="rId54" w:anchor="footNote4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49.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Совета Министров СССР от 13 февраля 1950 г. и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марта 1950 г. Кронштадтский районный Совет был ликвидирован, и город перешел в ведение Управления гражданской администрации при коменданте крепости Кронштадт; райсовет был восстановлен Указом Президиума Верховного Совета РСФСР от 6 июня 1958 г.</w:t>
      </w:r>
      <w:hyperlink r:id="rId55" w:anchor="footNote5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50.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21 марта 1950 г. рабочий поселок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населенным пунктом Конная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рабочий поселок Лисий Нос с населенными пунктами Горская, Дубки,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Каупилово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Поляны, Раздельная были выделены </w:t>
      </w: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состава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Парголовского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и подчинены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райсовету Ленинграда.</w:t>
      </w:r>
      <w:hyperlink r:id="rId56" w:anchor="footNote5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51.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12 июня 1950 г.</w:t>
      </w:r>
      <w:hyperlink r:id="rId57" w:anchor="footNote5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52.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административное обслуживание райсоветов Ленинграда были переданы: рабочий поселок Рыбацкое Павловского района Ленинградской области - Невскому райсовету;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Среднерогатинский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Пулковский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сельсоветы Павловского района Ленинградской области -Московскому райсовету, причем сельсоветы были реорганизованы в поселковые советы (на правах сельсоветов); город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рабочий поселок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включением в его черту населенного пункта Старо-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Красносельского района Ленинградской области -Кировскому райсовету Ленинграда; рабочий поселок Володарский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Красносельского района Ленинградской области -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Ленинграда, причем населенный пункт Стрельна был отнесен к категории рабочих поселков, в его черту включен поселок им. Ленина.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28 января 1952 г. Выборгский район Ленинграда был переименован в Сталинский район. </w:t>
      </w:r>
      <w:hyperlink r:id="rId58" w:anchor="footNote5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24 июля 1952 г. рабочие поселки Понтонный,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 Павловского района Ленинградской области были переданы в подчинение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райсовета Ленинграда. </w:t>
      </w:r>
      <w:hyperlink r:id="rId59" w:anchor="footNote5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Указу Президиума Верховного Совета РСФСР от 25 июля 1953 г. "Об упразднении Павловского района Ленинградской области"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Московско-Славянский,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сельсоветы Павловского района были переданы в подчинение Пушкинскому райсовету Ленинграда, рабочий поселок Петро-славянка -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райсовету Ленинграда, город Павловск - исполкому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Ленгорсовета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60" w:anchor="footNote5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3 апреля 1954 г. при ликвидации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Парголовского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были переданы: рабочие поселки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Парголово - в Сталинский район Ленинграда, рабочий поселок Песочный с населенными пунктами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Дибуны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Белоостров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Ленинграда.</w:t>
      </w:r>
      <w:hyperlink r:id="rId61" w:anchor="footNote5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56.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Указу Президиума Верховного Совета РСФСР от 8 апреля 1954 г. населенные пункты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Гамболово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Гукколово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Коврово,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Кондакопшино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района Ленинградской области были переданы в Пушкинский район Ленинграда, дер. Грачевка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в административное подчинение Павловскому горсовету. </w:t>
      </w:r>
      <w:hyperlink r:id="rId62" w:anchor="footNote5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23 сентября 1954 г. населенные пункты Новоселки и Александровка Всеволожского района Ленинградской области были переданы в Сталинский район Ленинграда.</w:t>
      </w:r>
      <w:hyperlink r:id="rId63" w:anchor="footNote5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58.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8 декабря 1955 г. населенные пункты Веселый Поселок, Сосновка, Уткина Заводь, Пороховые и поселок завода им. Сталина Всеволожского района Ленинградской области были включены в состав Невского и Калининского районов Ленинграда. </w:t>
      </w:r>
      <w:hyperlink r:id="rId64" w:anchor="footNote5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59.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декабря 1956 г. в черту города Сестрорецка были включены населенные пункты Разлив,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Тарховка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Александровская. </w:t>
      </w:r>
      <w:hyperlink r:id="rId65" w:anchor="footNote6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60.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1956 г. был упразднен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Пулковский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совет, его территория передана в подчинение Московскому райсовету Ленинграда.</w:t>
      </w:r>
      <w:hyperlink r:id="rId66" w:anchor="footNote6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61.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23 декабря 1957 г. Сталинский район Ленинграда переименован в Выборгский район. </w:t>
      </w:r>
      <w:hyperlink r:id="rId67" w:anchor="footNote6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62.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29 мая 1958 г. пос. Пулково и территория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Среднерогатского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совета, бывшие в административном подчинении Московского райсовета, были включены в городскую черту Ленинграда. </w:t>
      </w:r>
      <w:hyperlink r:id="rId68" w:anchor="footNote6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июня 1958 г. был образован рабочий поселок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Шушары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подчинением его Пушкинскому райсовету, а Московско-Славянский сельсовет был ликвидирован. </w:t>
      </w:r>
      <w:hyperlink r:id="rId69" w:anchor="footNote6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февраля 1959 г. Репинский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поселковые советы Курортного района были объединены в Репинский поселковый совет. </w:t>
      </w:r>
      <w:hyperlink r:id="rId70" w:anchor="footNote6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26 марта 1959 г. город Павловск из пригородной зоны Ленинграда был передан в подчинение Пушкинскому райсовету. </w:t>
      </w:r>
      <w:hyperlink r:id="rId71" w:anchor="footNote6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66.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апреля 1959 г. были образованы рабочие поселки Александровская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подчинением Пушкинскому райсовету,</w:t>
      </w:r>
      <w:hyperlink r:id="rId72" w:anchor="footNote6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67.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связи с этим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сельсоветы были ликвидированы.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12 мая 1959 г. был ликвидирован Курортный район Ленинграда. На его территории был образован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(с центром в городе Сестрорецке), которые не вошел в городскую черту Ленинграда. Город Зеленогорск подчинен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райсовету.</w:t>
      </w:r>
      <w:hyperlink r:id="rId73" w:anchor="footNote6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68.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15 июня 1960 г. в черту Ленинграда были включены следующие населенные пункты Всеволожского района Ленинградской области: Жерновка, Малиновка, Яблоновка, дача Безобразова, дача Долгорукова, пос.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Жерновского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совхоза "Выборгский", присоединенные к Калининскому району Ленинграда, Нева,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присоединенные к Невскому району Ленинграда. </w:t>
      </w:r>
      <w:hyperlink r:id="rId74" w:anchor="footNote6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69.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августа 1960 г. населенные пункты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Серово,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Смолячково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Молодежное были переданы в административное подчинение городу Зеленогорску,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был упразднен. </w:t>
      </w:r>
      <w:hyperlink r:id="rId75" w:anchor="footNote7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70.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1 июня 1961 г. был упразднен Свердловский район Ленинграда, его территория была присоединена к Василеостровскому району.</w:t>
      </w:r>
      <w:hyperlink r:id="rId76" w:anchor="footNote7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71.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16 января 1963 г. была расширена городская черта Ленинграда. Населенные пункты Ручьи, Рыбацкая и Новая Всеволожского района Ленинградской области - отошли к Выборгскому району Ленинграда. Из пригородной зоны в черту города вошли: город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рабочие поселки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Володарский, пос. Сосновая Поляна, населенные пункты Ивановка, Дачное - отошли к Кировскому району Ленинграда; рабочий поселок Рыбацкое, населенные </w:t>
      </w: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пункты Обухово,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-Славянка - к Невскому району, часть рабочего поселка Парголово - к Выборгскому району.</w:t>
      </w:r>
      <w:hyperlink r:id="rId77" w:anchor="footNote7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72.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1963 г. в черту города Ленинграда были включены рабочий поселок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населенный пункт Ольгино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hyperlink r:id="rId78" w:anchor="footNote7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октября 1964 г. были преобразованы в рабочие поселки населенные пункты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Белоостров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Металлострой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Саперный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 пос. Солнечный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получил статус курортного поселка.</w:t>
      </w:r>
      <w:hyperlink r:id="rId79" w:anchor="footNote7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ноября 1970 г. рабочий поселок Стрельна был включен в городскую черту Ленинграда.</w:t>
      </w:r>
      <w:hyperlink r:id="rId80" w:anchor="footNote7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75.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апреля 1973 г. рабочие поселки Лисий Нос,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Белостров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курортный поселок Солнечное, пос. Горская переданы в административное подчинение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райсовету, курортные поселки Репино и Комарово -Зеленогорскому горсовету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рабочий поселок Петро-Славянка -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-Ижорскому поселковому совету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Лисьеносовский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Репинский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Петрославянский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поселковые советы были ликвидированы.</w:t>
      </w:r>
      <w:hyperlink r:id="rId81" w:anchor="footNote7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76.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13 апреля 1973 г. в Ленинграде были образованы два новых района: Красногвардейский, в состав которого вошла часть Калининского района,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которого включены часть территории Кировского района Ленинграда (микрорайоны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Сосновая Поляна, Старо-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пос. Володарский) и территории Ленинградской области: город Красное Село, рабочие поселки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Можайский, подчиненные Красносельскому горсовету, пос.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Торики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-Ломоносовского района.</w:t>
      </w:r>
      <w:hyperlink r:id="rId82" w:anchor="footNote7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Президиума Верховного Совета РСФСР от 1 марта 1978 г. пос. Хвойное Гатчинского района Ленинградской области был передан в административное подчинение Красносельскому райсовету Ленинграда.</w:t>
      </w:r>
      <w:hyperlink r:id="rId83" w:anchor="footNote7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78.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18 апреля 1978 г. город Ломоносов, оставаясь центром Ломоносовского района Ленинграда, был передан в административное подчинение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Петродворцовому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Ленинграда.</w:t>
      </w:r>
      <w:hyperlink r:id="rId84" w:anchor="footNote79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79.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апреля 1974 г. до 1989 г. в городскую черту Ленинграда входили 16 районов: Василеостровский, Выборгский, Дзержинский, Ждановский, Калининский, Кировский, Красногвардейский, Куйбышевский, Ленинский, Московский, Невский, Октябрьский, Петроградский,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Ленинградскому городскому Совету подчинялись города Колпино, Кронштадт, Петродворец, Пушкин и Сестрорецк, являвшиеся центрами соответствующих районов, территория которых не входила в черту Ленинграда. Районным Советам Ленинграда подчинялись: три города - Зеленогорск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Ломоносов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(с 1978 г.), Павловск Пушкинского района, а также 17 поселков городского типа -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Парголово Выборгского района,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Металлострой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Петро-Славянка, Понтонный, Саперный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Александровская,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Шушары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Пушкинского района,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Белоостров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Комарово, Лисий Нос, Песочный, Репино, Солнечное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hyperlink r:id="rId85" w:anchor="footNote8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80.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решению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февраля 1989 г. Ждановский район Ленинграда был переименован в Приморский район. </w:t>
      </w:r>
      <w:hyperlink r:id="rId86" w:anchor="footNote8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81.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Верховного Совета РСФСР от 31 октября 1989 г. города Зеленогорск, Ломоносов, Павловск были отнесены к категории городов областного подчинения и переданы в административное подчинение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Ленгорсовету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87" w:anchor="footNote8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82.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Указу Президиума Верховного Совета РСФСР от 6 сентября 1991 г. городу Ленинграду было возвращено его историческое название - Санкт-Петербург. </w:t>
      </w:r>
      <w:hyperlink r:id="rId88" w:anchor="footNote8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распоряжению Мэра Санкт-Петербурга от 11 марта 1994 г. Дзержинский, Куйбышевский 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были объединены в Центральный район, Ленинский и Октябрьский в Адмиралтейский район, на основе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 образован Курортный район, в состав которого вошел город Зеленогорск. </w:t>
      </w:r>
      <w:hyperlink r:id="rId89" w:anchor="footNote8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84.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1996 г. Законодательное собрание Санкт-Петербурга приняло закон "Об административно-территориальном устройстве Санкт-Петербурга",</w:t>
      </w:r>
      <w:hyperlink r:id="rId90" w:anchor="footNote85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85.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который определил границу города и Ленинградской области. Согласно этому закону территориальными единицами (структурными единицами административно-территориального деления) города должны были стать 22 района: Адмиралтейский, Василеостровский, Выборгский, Зеленогорский (в границах города Зеленогорска по состоянию на 01.01.94, за исключением территорий бывших поселков городского типа Репино и Комарово, являющимися частью территории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Сестрорецкого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района), Калининский, Кировский,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Красногвардейский,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Кронштадтский, Ломоносовский, Московский, Невский, Павловский, Петроградский,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Петродворцовый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Приморский, Пушкинский,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Сестрорецкий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-Ижорский (в границах территорий, подчиненных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-Ижорской и Понтонной администрациям по состоянию на 01.12.96),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Центральный. Так как этот закон противоречил принципам разделения исполнительной и административной власти и федеральным законам о местном самоуправлении, 18 июня 1997 г. Законодательное Собрание Санкт-Петербурга вновь обратилось к его рассмотрению, и 23 июня 1997 г. губернатор подписал новый вариант закона "О территориальном устройстве Санкт-Петербурга".</w:t>
      </w:r>
      <w:hyperlink r:id="rId91" w:anchor="footNote86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86.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Санкт-Петербурга от 3 июля 1998 г. ряду муниципальных образований были присвоены наименования: № 10 - Морской округ, № 17 - "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-Озерки", № 23 - "Северный округ", № 44 - "Московская застава", № 46 - "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Новоизмайловское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", № 48 - "Звездное", № 69 -"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Юнтолово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", № 73 - "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Купчино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", № 77 - "Дворцовый округ".</w:t>
      </w:r>
      <w:hyperlink r:id="rId92" w:anchor="footNote87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87.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Санкт-Петербурга от 22 июля 1998 г. в границы муниципального округа № 43 включен поселок Хвойный.</w:t>
      </w:r>
      <w:hyperlink r:id="rId93" w:anchor="footNote88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88.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Санкт-Петербурга от 10 марта 1999 г. вместо муниципального округа № 43 в число территориальных единиц включен город Красное Село.</w:t>
      </w:r>
      <w:hyperlink r:id="rId94" w:anchor="footNote90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90.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Приморский, Пушкинский, 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Центральный. </w:t>
      </w:r>
      <w:hyperlink r:id="rId95" w:anchor="footNote91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91.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Границы административных районов были уточнены распоряжением губернатора Санкт-Петербурга от 21 июня 1999 г.</w:t>
      </w:r>
      <w:hyperlink r:id="rId96" w:anchor="footNote92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92.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границы города и иных сложившихся частей". </w:t>
      </w:r>
      <w:hyperlink r:id="rId97" w:anchor="footNote93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93.</w:t>
        </w:r>
      </w:hyperlink>
    </w:p>
    <w:p w:rsidR="00F21C33" w:rsidRPr="00F21C33" w:rsidRDefault="00F21C33" w:rsidP="003A20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Санкт-Петербурга от 2 июня 2000 г. ряду муниципальных образований города были присвоены наименования: № 3 - "Адмиралтейский округ", № 16 - "Парнас", № 28 -</w:t>
      </w:r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"Автово", № 29 - "Нарвский округ", № 32 - "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Полюстрово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", № 36 - "</w:t>
      </w:r>
      <w:proofErr w:type="spellStart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Ржевка</w:t>
      </w:r>
      <w:proofErr w:type="spellEnd"/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", № 52 - "Рыбацкое", № 55 - "Веселый поселок", № 62 - "Петровский", № 67 - "Комендантский аэродром".</w:t>
      </w:r>
      <w:hyperlink r:id="rId98" w:anchor="footNote94" w:history="1">
        <w:r w:rsidRPr="00F21C33">
          <w:rPr>
            <w:rFonts w:ascii="Times New Roman" w:eastAsia="Times New Roman" w:hAnsi="Times New Roman" w:cs="Times New Roman"/>
            <w:color w:val="F94B48"/>
            <w:sz w:val="18"/>
            <w:szCs w:val="18"/>
            <w:u w:val="single"/>
            <w:vertAlign w:val="superscript"/>
            <w:lang w:eastAsia="ru-RU"/>
          </w:rPr>
          <w:t>94.</w:t>
        </w:r>
      </w:hyperlink>
      <w:r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070"/>
      </w:tblGrid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footNote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архив Российской Федерации (ГАРФ). Ф. Р-5677. Оп. 7.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89. Л.76.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footNote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Л. 78.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footNote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Ежемесячник Статистического отделения Петроградской городской управы. Краткие своды статистических данных за 1915 г.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1916. С. 1. Весь Петроград на 1917 год. С. 247-251, 261.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footNote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8816. Оп. 1.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97. Л. 1. Ведомости общественного градоначальства. 1917. 7 апреля. № 23. С. 1; 17 сентября. № 71. С. 2-3.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footNote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bookmarkEnd w:id="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узаконений. 1917. № 196. Ст. 1174 . № 219. Ст. 1472.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footNote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bookmarkEnd w:id="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декретов и постановлений по Союзу коммун Северной области. Приложения.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1919. С. 96-97.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footNote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bookmarkEnd w:id="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городу означало изменение статуса населения, его налогообложения, прав собственности, что не устраивало жителей отдельных деревень и поселков (занимавшихся сельским хозяйством), которые обращались с жалобами во ВЦИК. Этим объясняется, что в 1920-е гг. ряд населенных пунктов вблизи Петрограда перешли в уездное подчинение.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footNote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bookmarkEnd w:id="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СУ. 1917. № 219. Ст. 1471.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footNote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bookmarkEnd w:id="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См.: Районные Советы Петрограда в 1917 г. Т. 1. М.-Л. 1964. С. 20, 71, 123, 179, 284, 317, 319, 358. Т. 2. М.-Л. 1965. С. 5, 59, 62, 81, 87, 91. Т. 3. М.-Л. 1966. С. 6, 179, 199, 209.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footNote1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bookmarkEnd w:id="1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Советы...Т. 2. С. 59, 81.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footNote1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bookmarkEnd w:id="1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ГАРФ. Ф. Р-393. Оп. 11.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324. Л. 13. ЦГА СПб. Ф. Р-1001. Оп. 3.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1443. Л. 49-50.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footNote1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bookmarkEnd w:id="1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10.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269. Л. 58.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footNote1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bookmarkEnd w:id="1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Р-7852. Оп. 1.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Л.5а. Ф. Р-142. Оп. 1.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56. Л. 14.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footNote1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bookmarkEnd w:id="1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Петроградского Совета.25 июня 1919. ЦГА СПб. Ф. Р-1000. Оп. 3.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142. Л. 21.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footNote1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bookmarkEnd w:id="1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Р-2. Оп. 1.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37. Л. 4, 10, 15.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footNote1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bookmarkEnd w:id="1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6.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22. Л. 25 об. Петроградская правда. 21 июля 1922.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footNote1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bookmarkEnd w:id="1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ГАРФ. Ф. Р-5677. Оп. 7.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89. Л. 80об.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footNote1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bookmarkEnd w:id="1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6.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67. Л. 188.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footNote1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bookmarkEnd w:id="1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же. Оп. 8.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106. Л. 30.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footNote2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bookmarkEnd w:id="2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Л. 135об.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footNote2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bookmarkEnd w:id="2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52.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41. Л. 74, 77, 84. ГАРФ. Ф. Р-1235. Оп. 70.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57. Л. 120а.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footNote2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bookmarkEnd w:id="2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52.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41. Л. 74, 77, 84.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footNote2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bookmarkEnd w:id="2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ГАРФ. Ф. Р-5677. Оп. 7.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89. Л. 17. ЦГА СПб. Ф. Р-1000. Оп. 52.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41. Л. 6.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footNote2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bookmarkEnd w:id="2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узаконений и распоряжений рабочего и крестьянского правительства (СУ). 1924. № 29-30. Ст. 268.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footNote2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bookmarkEnd w:id="2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ГАРФ. Ф. Р-393. Оп. 7.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89. Л. 34, 79. СУ. 1926. № 42. Ст. 324.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footNote2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bookmarkEnd w:id="2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Р-7179. Оп. 1.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110. Л. 11.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footNote2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bookmarkEnd w:id="2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66.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41. Л.4.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footNote2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  <w:bookmarkEnd w:id="2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СУ. 1930. № 60. Ст. 782.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footNote2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bookmarkEnd w:id="2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законов и распоряжений правительства (СЗ) СССР. 1931. № 70. Ст. 468.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footNote3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bookmarkEnd w:id="3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Р-1000. Оп. 69.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64. Л.2.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123. Л. 344.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footNote3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bookmarkEnd w:id="3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 СССР. 1935. № 4. Ст. 32.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footNote3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bookmarkEnd w:id="3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Р-7384. Оп. 18.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155. Л. 147-149.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footNote3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bookmarkEnd w:id="3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и распоряжения Ленсовета рабочих, крестьянских и красноармейских депутатов и его отделов. 1936. № 40. С. 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footNote3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bookmarkEnd w:id="3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СУ. 1936. № 22. С. 149; 1938. № 13. Ст. 220.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footNote3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bookmarkEnd w:id="3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СССР. Административно-территориальный справочник деления союзных республик. М. 1940. С. 78-79. РСФСР. Административно-территориальное деление. М. 1945. С. 205.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footNote3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bookmarkEnd w:id="3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 СССР. 1937. № 14. Ст. 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footNote3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bookmarkEnd w:id="3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СУ. 1937. № 10. Ст. 100.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footNote3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  <w:bookmarkEnd w:id="3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Верховного Совета СССР (ВВС СССР). 1938. № 17. С. 4 Бюллетень Ленинградского областного Совета депутатов трудящихся. 1940. № 36. С. 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footNote3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  <w:bookmarkEnd w:id="3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городов: Справочник по освобождению городов в период Великой Отечественной войны. М. 1985. С. 186, 197.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footNote4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  <w:bookmarkEnd w:id="4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СССР. 1944. № 11.С. 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footNote4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  <w:bookmarkEnd w:id="4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исполнительного комитета Ленинградского городского Совета депутатов трудящихся (БИК ЛГС). 1946. № 15-16. С. 11.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footNote4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  <w:bookmarkEnd w:id="4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1946. № 21-22. С. 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footNote4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  <w:bookmarkEnd w:id="4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footNote4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  <w:bookmarkEnd w:id="4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footNote4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bookmarkEnd w:id="4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РСФСР. Административно-территориальное деление. М. 1950. С. 199. СССР. Административно-территориальное деление. М. 1954. С. 84. М. 1958. С. 112.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footNote4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bookmarkEnd w:id="4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Р-7384. Оп. 36.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240. Л. 110-111.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footNote4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bookmarkEnd w:id="4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1948. № 19. С. 6.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footNote4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  <w:bookmarkEnd w:id="4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№ 21. С. 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footNote4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  <w:bookmarkEnd w:id="4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СССР. № 48. 26 декабря 1948. С. 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footNote5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  <w:bookmarkEnd w:id="5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Р-7384. Оп. 36.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299. Л. 36,89. ВВС РСФСР. 1958. № 7. Ст. 382.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footNote5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  <w:bookmarkEnd w:id="5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Р-7179. Оп. 33.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1016. Л. 46. Ф. Р-7384. Оп. 29.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footNote5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  <w:bookmarkEnd w:id="5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же. Ф. Р-7179. Оп. 33.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1085. Л. 22.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1028 Л. 7. Оп. 44.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149. Л. 200.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footNote5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  <w:bookmarkEnd w:id="5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СССР. 1952. № 4. С. 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footNote5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  <w:bookmarkEnd w:id="5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Р-7179. Оп. 44.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149. Л. 51.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footNote5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  <w:bookmarkEnd w:id="5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СССР. 1953. № 8. С. 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footNote5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  <w:bookmarkEnd w:id="5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1954. № 8. С. 304.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footNote5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  <w:bookmarkEnd w:id="5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ЦГА СПб. Ф. Р-7179. Оп. 53а.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753. Л. 124, 125.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footNote5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  <w:bookmarkEnd w:id="5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же.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193. Л. 130.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footNote5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  <w:bookmarkEnd w:id="5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же. </w:t>
            </w:r>
            <w:proofErr w:type="spellStart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361. Л. 139.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footNote6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bookmarkEnd w:id="6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1957. № 2. С. 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footNote6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  <w:bookmarkEnd w:id="6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footNote6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  <w:bookmarkEnd w:id="6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Верховного Совета РСФСР (ВВС РСФСР). 1958. № 1. С. 11.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footNote6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  <w:bookmarkEnd w:id="6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РСФСР. 1958. № 6. Ст. 321.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footNote6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  <w:bookmarkEnd w:id="6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1958. № 15. С. 16.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footNote6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  <w:bookmarkEnd w:id="6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1959. № 7. С. 19.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footNote6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  <w:bookmarkEnd w:id="6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РСФСР. 1959. № 12. Ст. 225.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footNote6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  <w:bookmarkEnd w:id="6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1959. № 32. Ст. 627.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footNote6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  <w:bookmarkEnd w:id="6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1959. № 18. Ст. 313.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footNote6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  <w:bookmarkEnd w:id="6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1960. № 22. Ст. 322.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footNote7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  <w:bookmarkEnd w:id="7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1960. № 18. С. 13-14.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footNote7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  <w:bookmarkEnd w:id="7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РСФСР. 1961. № 22. Ст. 334.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footNote7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  <w:bookmarkEnd w:id="7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1963. № 3. Ст. 8.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footNote7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  <w:bookmarkEnd w:id="7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1963. № 2. С. 1-2.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footNote7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  <w:bookmarkEnd w:id="7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1964. № 22. С. 5-7.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footNote7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  <w:bookmarkEnd w:id="7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РСФСР. 1971. № 5. С. 74.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footNote7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  <w:bookmarkEnd w:id="7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1973. № 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footNote7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  <w:bookmarkEnd w:id="7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РСФСР. 1973. № 16. Ст. 354.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footNote7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  <w:bookmarkEnd w:id="7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1978. № 10. Ст. 253.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footNote7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  <w:bookmarkEnd w:id="7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1978. № 17. Ст. 461.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footNote8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  <w:bookmarkEnd w:id="8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РСФСР. Административно-территориальное деление. М. 1974. С. 182-183. М. 1977. С. 182183. М. 1981. С. 261-262. М. 1986. С. 261-262.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footNote8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  <w:bookmarkEnd w:id="8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ЛГС. 1989. № 7. С. 1.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footNote8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  <w:bookmarkEnd w:id="8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 РСФСР. 1989. № 45. Ст. 1344.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footNote8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  <w:bookmarkEnd w:id="8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же.1991. № 36. Ст. 1179.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footNote8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  <w:bookmarkEnd w:id="8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мэрии Санкт-Петербурга. 1994. № 4. С. 19-20.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footNote8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bookmarkEnd w:id="8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администрации Санкт-Петербурга. 1997. № 2. С. 49-52.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footNote86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  <w:bookmarkEnd w:id="86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1997. № 8. С. 103-104.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footNote87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  <w:bookmarkEnd w:id="87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1998. № 8. С. 96-97.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footNote88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bookmarkEnd w:id="88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1998. № 8. С. 106.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footNote89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  <w:bookmarkEnd w:id="89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1999. № 3. С.74-75.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footNote90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  <w:bookmarkEnd w:id="90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1999. № 4. С. 125.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footNote91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  <w:bookmarkEnd w:id="91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1999. № 2. С. 98-107.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footNote92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  <w:bookmarkEnd w:id="92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1999. № 7. С. 6-9.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footNote93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  <w:bookmarkEnd w:id="93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1999. № 11. С. 6-75.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footNote94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  <w:bookmarkEnd w:id="94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2000. № 7. С. 6.</w:t>
            </w:r>
          </w:p>
        </w:tc>
      </w:tr>
      <w:tr w:rsidR="00F21C33" w:rsidRPr="00F21C33" w:rsidTr="00F2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footNote95"/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bookmarkEnd w:id="95"/>
          </w:p>
        </w:tc>
        <w:tc>
          <w:tcPr>
            <w:tcW w:w="0" w:type="auto"/>
            <w:vAlign w:val="center"/>
            <w:hideMark/>
          </w:tcPr>
          <w:p w:rsidR="00F21C33" w:rsidRPr="00F21C33" w:rsidRDefault="00F21C33" w:rsidP="003A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же. 2001. № 4. С. 30-31.</w:t>
            </w:r>
          </w:p>
        </w:tc>
      </w:tr>
    </w:tbl>
    <w:p w:rsidR="00F21C33" w:rsidRPr="00F21C33" w:rsidRDefault="00F21C33" w:rsidP="003A20E4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03237"/>
          <w:sz w:val="27"/>
          <w:szCs w:val="27"/>
          <w:lang w:eastAsia="ru-RU"/>
        </w:rPr>
      </w:pPr>
      <w:r w:rsidRPr="00F21C33">
        <w:rPr>
          <w:rFonts w:ascii="Times New Roman" w:eastAsia="Times New Roman" w:hAnsi="Times New Roman" w:cs="Times New Roman"/>
          <w:color w:val="303237"/>
          <w:sz w:val="27"/>
          <w:szCs w:val="27"/>
          <w:lang w:eastAsia="ru-RU"/>
        </w:rPr>
        <w:t>Путеводитель ЦГА СПб</w:t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94B48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begin"/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instrText xml:space="preserve"> HYPERLINK "https://spbarchives.ru/infres/search?p_p_id=archiveStoreSearchPortlet&amp;p_p_lifecycle=0&amp;p_p_state=normal&amp;p_p_mode=view&amp;_archiveStoreSearchPortlet_selectedResources=GuidePageItem&amp;_archiveStoreSearchPortlet_selectedArchives=1" \t "_blank" </w:instrTex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separate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color w:val="F94B48"/>
          <w:sz w:val="24"/>
          <w:szCs w:val="24"/>
          <w:u w:val="single"/>
          <w:lang w:eastAsia="ru-RU"/>
        </w:rPr>
        <w:t>Поиск по путеводителю</w: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end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94B48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begin"/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instrText xml:space="preserve"> HYPERLINK "https://spbarchives.ru/infres/-/archive/cga/guide" </w:instrTex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separate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color w:val="F94B48"/>
          <w:sz w:val="24"/>
          <w:szCs w:val="24"/>
          <w:u w:val="single"/>
          <w:lang w:eastAsia="ru-RU"/>
        </w:rPr>
        <w:t>Содержание</w: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end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94B48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begin"/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instrText xml:space="preserve"> HYPERLINK "https://spbarchives.ru/infres/-/archive/cga/guide/184" </w:instrTex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separate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color w:val="F94B48"/>
          <w:sz w:val="24"/>
          <w:szCs w:val="24"/>
          <w:u w:val="single"/>
          <w:lang w:eastAsia="ru-RU"/>
        </w:rPr>
        <w:t>Список неаннотируемых фондов</w: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end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94B48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begin"/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instrText xml:space="preserve"> HYPERLINK "https://spbarchives.ru/infres/-/archive/cga/guide/185" </w:instrTex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separate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color w:val="F94B48"/>
          <w:sz w:val="24"/>
          <w:szCs w:val="24"/>
          <w:u w:val="single"/>
          <w:lang w:eastAsia="ru-RU"/>
        </w:rPr>
        <w:t>Приложения</w:t>
      </w: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fldChar w:fldCharType="end"/>
      </w:r>
    </w:p>
    <w:p w:rsidR="00F21C33" w:rsidRPr="00F21C33" w:rsidRDefault="00F21C33" w:rsidP="003A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21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История административно-территориального деления Петрограда - Ленинграда - Санкт-петербурга (1917-2001)</w:t>
      </w:r>
    </w:p>
    <w:p w:rsidR="00F21C33" w:rsidRPr="00F21C33" w:rsidRDefault="003A20E4" w:rsidP="003A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ooltip="Go to Архивы Санкт-Петербурга" w:history="1">
        <w:r w:rsidR="00F21C33" w:rsidRPr="00F21C33">
          <w:rPr>
            <w:rFonts w:ascii="Times New Roman" w:eastAsia="Times New Roman" w:hAnsi="Times New Roman" w:cs="Times New Roman"/>
            <w:noProof/>
            <w:color w:val="6C7179"/>
            <w:sz w:val="24"/>
            <w:szCs w:val="24"/>
            <w:lang w:eastAsia="ru-RU"/>
          </w:rPr>
          <w:drawing>
            <wp:inline distT="0" distB="0" distL="0" distR="0" wp14:anchorId="23D60B2E" wp14:editId="65779CF4">
              <wp:extent cx="572770" cy="445770"/>
              <wp:effectExtent l="0" t="0" r="0" b="0"/>
              <wp:docPr id="1" name="Рисунок 1" descr="Архивы Санкт-Петербурга">
                <a:hlinkClick xmlns:a="http://schemas.openxmlformats.org/drawingml/2006/main" r:id="rId99" tooltip="&quot;Go to Архивы Санкт-Петербург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Logo" descr="Архивы Санкт-Петербурга">
                        <a:hlinkClick r:id="rId99" tooltip="&quot;Go to Архивы Санкт-Петербург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77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21C33" w:rsidRPr="00F21C33">
          <w:rPr>
            <w:rFonts w:ascii="Times New Roman" w:eastAsia="Times New Roman" w:hAnsi="Times New Roman" w:cs="Times New Roman"/>
            <w:caps/>
            <w:color w:val="6C7179"/>
            <w:spacing w:val="3"/>
            <w:sz w:val="24"/>
            <w:szCs w:val="24"/>
            <w:lang w:eastAsia="ru-RU"/>
          </w:rPr>
          <w:t>АРХИВЫ САНКТ-ПЕТЕРБУРГА</w:t>
        </w:r>
      </w:hyperlink>
    </w:p>
    <w:p w:rsidR="00F21C33" w:rsidRPr="00F21C33" w:rsidRDefault="003A20E4" w:rsidP="003A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gtFrame="_blank" w:history="1">
        <w:r w:rsidR="00F21C33" w:rsidRPr="00F21C33">
          <w:rPr>
            <w:rFonts w:ascii="Times New Roman" w:eastAsia="Times New Roman" w:hAnsi="Times New Roman" w:cs="Times New Roman"/>
            <w:color w:val="6C7179"/>
            <w:sz w:val="24"/>
            <w:szCs w:val="24"/>
            <w:u w:val="single"/>
            <w:lang w:eastAsia="ru-RU"/>
          </w:rPr>
          <w:t>Пользовательское соглашение</w:t>
        </w:r>
      </w:hyperlink>
    </w:p>
    <w:p w:rsidR="00F21C33" w:rsidRPr="00F21C33" w:rsidRDefault="003A20E4" w:rsidP="003A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gtFrame="_blank" w:history="1">
        <w:r w:rsidR="00F21C33" w:rsidRPr="00F21C33">
          <w:rPr>
            <w:rFonts w:ascii="Times New Roman" w:eastAsia="Times New Roman" w:hAnsi="Times New Roman" w:cs="Times New Roman"/>
            <w:color w:val="6C7179"/>
            <w:sz w:val="24"/>
            <w:szCs w:val="24"/>
            <w:u w:val="single"/>
            <w:lang w:eastAsia="ru-RU"/>
          </w:rPr>
          <w:t>Техническая поддержка</w:t>
        </w:r>
      </w:hyperlink>
    </w:p>
    <w:p w:rsidR="00F21C33" w:rsidRPr="00F21C33" w:rsidRDefault="003A20E4" w:rsidP="003A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="00F21C33" w:rsidRPr="00F21C33">
          <w:rPr>
            <w:rFonts w:ascii="Times New Roman" w:eastAsia="Times New Roman" w:hAnsi="Times New Roman" w:cs="Times New Roman"/>
            <w:color w:val="6C7179"/>
            <w:sz w:val="24"/>
            <w:szCs w:val="24"/>
            <w:u w:val="single"/>
            <w:lang w:eastAsia="ru-RU"/>
          </w:rPr>
          <w:t>Карта портала</w:t>
        </w:r>
      </w:hyperlink>
    </w:p>
    <w:p w:rsidR="00F21C33" w:rsidRPr="00F21C33" w:rsidRDefault="003A20E4" w:rsidP="003A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gtFrame="_blank" w:history="1">
        <w:r w:rsidR="00F21C33" w:rsidRPr="00F21C33">
          <w:rPr>
            <w:rFonts w:ascii="Times New Roman" w:eastAsia="Times New Roman" w:hAnsi="Times New Roman" w:cs="Times New Roman"/>
            <w:color w:val="6C7179"/>
            <w:sz w:val="24"/>
            <w:szCs w:val="24"/>
            <w:u w:val="single"/>
            <w:lang w:eastAsia="ru-RU"/>
          </w:rPr>
          <w:t>Контакты</w:t>
        </w:r>
      </w:hyperlink>
    </w:p>
    <w:p w:rsidR="00F21C33" w:rsidRPr="00F21C33" w:rsidRDefault="003A20E4" w:rsidP="003A20E4">
      <w:pPr>
        <w:spacing w:before="9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F21C33" w:rsidRPr="00F21C33" w:rsidRDefault="003A20E4" w:rsidP="003A20E4">
      <w:pPr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gtFrame="_blank" w:history="1">
        <w:r w:rsidR="00F21C33" w:rsidRPr="00F21C33">
          <w:rPr>
            <w:rFonts w:ascii="Times New Roman" w:eastAsia="Times New Roman" w:hAnsi="Times New Roman" w:cs="Times New Roman"/>
            <w:color w:val="C1C3C5"/>
            <w:sz w:val="24"/>
            <w:szCs w:val="24"/>
            <w:u w:val="single"/>
            <w:lang w:eastAsia="ru-RU"/>
          </w:rPr>
          <w:t>Архивный комитет Санкт-Петербурга</w:t>
        </w:r>
      </w:hyperlink>
      <w:r w:rsidR="00F21C33"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21C33" w:rsidRPr="00F21C33">
        <w:rPr>
          <w:rFonts w:ascii="Times New Roman" w:eastAsia="Times New Roman" w:hAnsi="Times New Roman" w:cs="Times New Roman"/>
          <w:sz w:val="24"/>
          <w:szCs w:val="24"/>
          <w:lang w:eastAsia="ru-RU"/>
        </w:rPr>
        <w:t>Copyright</w:t>
      </w:r>
      <w:proofErr w:type="spellEnd"/>
    </w:p>
    <w:p w:rsidR="00F81BC1" w:rsidRDefault="00F81BC1" w:rsidP="003A20E4">
      <w:pPr>
        <w:jc w:val="both"/>
      </w:pPr>
    </w:p>
    <w:sectPr w:rsidR="00F8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F35"/>
    <w:multiLevelType w:val="multilevel"/>
    <w:tmpl w:val="6EFC3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45"/>
    <w:rsid w:val="003A20E4"/>
    <w:rsid w:val="00EA2E45"/>
    <w:rsid w:val="00F21C33"/>
    <w:rsid w:val="00F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1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2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C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1C33"/>
    <w:rPr>
      <w:color w:val="800080"/>
      <w:u w:val="single"/>
    </w:rPr>
  </w:style>
  <w:style w:type="character" w:customStyle="1" w:styleId="glyphicon">
    <w:name w:val="glyphicon"/>
    <w:basedOn w:val="a0"/>
    <w:rsid w:val="00F21C33"/>
  </w:style>
  <w:style w:type="character" w:customStyle="1" w:styleId="text-white">
    <w:name w:val="text-white"/>
    <w:basedOn w:val="a0"/>
    <w:rsid w:val="00F21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1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2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C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1C33"/>
    <w:rPr>
      <w:color w:val="800080"/>
      <w:u w:val="single"/>
    </w:rPr>
  </w:style>
  <w:style w:type="character" w:customStyle="1" w:styleId="glyphicon">
    <w:name w:val="glyphicon"/>
    <w:basedOn w:val="a0"/>
    <w:rsid w:val="00F21C33"/>
  </w:style>
  <w:style w:type="character" w:customStyle="1" w:styleId="text-white">
    <w:name w:val="text-white"/>
    <w:basedOn w:val="a0"/>
    <w:rsid w:val="00F2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1288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53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15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16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26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9" w:color="auto"/>
                                                                <w:left w:val="none" w:sz="0" w:space="0" w:color="auto"/>
                                                                <w:bottom w:val="dashed" w:sz="6" w:space="9" w:color="34363B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2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9" w:color="auto"/>
                                                                <w:left w:val="none" w:sz="0" w:space="0" w:color="auto"/>
                                                                <w:bottom w:val="dashed" w:sz="6" w:space="9" w:color="34363B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6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9" w:color="auto"/>
                                                                <w:left w:val="none" w:sz="0" w:space="0" w:color="auto"/>
                                                                <w:bottom w:val="dashed" w:sz="6" w:space="9" w:color="34363B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9" w:color="auto"/>
                                                                <w:left w:val="none" w:sz="0" w:space="0" w:color="auto"/>
                                                                <w:bottom w:val="dashed" w:sz="6" w:space="9" w:color="34363B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16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165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8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7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8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23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5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barchives.ru/infres/-/archive/cga/guide/187" TargetMode="External"/><Relationship Id="rId21" Type="http://schemas.openxmlformats.org/officeDocument/2006/relationships/hyperlink" Target="https://spbarchives.ru/infres/-/archive/cga/guide/187" TargetMode="External"/><Relationship Id="rId42" Type="http://schemas.openxmlformats.org/officeDocument/2006/relationships/hyperlink" Target="https://spbarchives.ru/infres/-/archive/cga/guide/187" TargetMode="External"/><Relationship Id="rId47" Type="http://schemas.openxmlformats.org/officeDocument/2006/relationships/hyperlink" Target="https://spbarchives.ru/infres/-/archive/cga/guide/187" TargetMode="External"/><Relationship Id="rId63" Type="http://schemas.openxmlformats.org/officeDocument/2006/relationships/hyperlink" Target="https://spbarchives.ru/infres/-/archive/cga/guide/187" TargetMode="External"/><Relationship Id="rId68" Type="http://schemas.openxmlformats.org/officeDocument/2006/relationships/hyperlink" Target="https://spbarchives.ru/infres/-/archive/cga/guide/187" TargetMode="External"/><Relationship Id="rId84" Type="http://schemas.openxmlformats.org/officeDocument/2006/relationships/hyperlink" Target="https://spbarchives.ru/infres/-/archive/cga/guide/187" TargetMode="External"/><Relationship Id="rId89" Type="http://schemas.openxmlformats.org/officeDocument/2006/relationships/hyperlink" Target="https://spbarchives.ru/infres/-/archive/cga/guide/187" TargetMode="External"/><Relationship Id="rId7" Type="http://schemas.openxmlformats.org/officeDocument/2006/relationships/hyperlink" Target="https://spbarchives.ru/infres/-/archive/cga/guide/187" TargetMode="External"/><Relationship Id="rId71" Type="http://schemas.openxmlformats.org/officeDocument/2006/relationships/hyperlink" Target="https://spbarchives.ru/infres/-/archive/cga/guide/187" TargetMode="External"/><Relationship Id="rId92" Type="http://schemas.openxmlformats.org/officeDocument/2006/relationships/hyperlink" Target="https://spbarchives.ru/infres/-/archive/cga/guide/1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barchives.ru/infres/-/archive/cga/guide/187" TargetMode="External"/><Relationship Id="rId29" Type="http://schemas.openxmlformats.org/officeDocument/2006/relationships/hyperlink" Target="https://spbarchives.ru/infres/-/archive/cga/guide/18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pbarchives.ru/infres/-/archive/cga/guide/187" TargetMode="External"/><Relationship Id="rId24" Type="http://schemas.openxmlformats.org/officeDocument/2006/relationships/hyperlink" Target="https://spbarchives.ru/infres/-/archive/cga/guide/187" TargetMode="External"/><Relationship Id="rId32" Type="http://schemas.openxmlformats.org/officeDocument/2006/relationships/hyperlink" Target="https://spbarchives.ru/infres/-/archive/cga/guide/187" TargetMode="External"/><Relationship Id="rId37" Type="http://schemas.openxmlformats.org/officeDocument/2006/relationships/hyperlink" Target="https://spbarchives.ru/infres/-/archive/cga/guide/187" TargetMode="External"/><Relationship Id="rId40" Type="http://schemas.openxmlformats.org/officeDocument/2006/relationships/hyperlink" Target="https://spbarchives.ru/infres/-/archive/cga/guide/187" TargetMode="External"/><Relationship Id="rId45" Type="http://schemas.openxmlformats.org/officeDocument/2006/relationships/hyperlink" Target="https://spbarchives.ru/infres/-/archive/cga/guide/187" TargetMode="External"/><Relationship Id="rId53" Type="http://schemas.openxmlformats.org/officeDocument/2006/relationships/hyperlink" Target="https://spbarchives.ru/infres/-/archive/cga/guide/187" TargetMode="External"/><Relationship Id="rId58" Type="http://schemas.openxmlformats.org/officeDocument/2006/relationships/hyperlink" Target="https://spbarchives.ru/infres/-/archive/cga/guide/187" TargetMode="External"/><Relationship Id="rId66" Type="http://schemas.openxmlformats.org/officeDocument/2006/relationships/hyperlink" Target="https://spbarchives.ru/infres/-/archive/cga/guide/187" TargetMode="External"/><Relationship Id="rId74" Type="http://schemas.openxmlformats.org/officeDocument/2006/relationships/hyperlink" Target="https://spbarchives.ru/infres/-/archive/cga/guide/187" TargetMode="External"/><Relationship Id="rId79" Type="http://schemas.openxmlformats.org/officeDocument/2006/relationships/hyperlink" Target="https://spbarchives.ru/infres/-/archive/cga/guide/187" TargetMode="External"/><Relationship Id="rId87" Type="http://schemas.openxmlformats.org/officeDocument/2006/relationships/hyperlink" Target="https://spbarchives.ru/infres/-/archive/cga/guide/187" TargetMode="External"/><Relationship Id="rId102" Type="http://schemas.openxmlformats.org/officeDocument/2006/relationships/hyperlink" Target="mailto:support@spbarchive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pbarchives.ru/infres/-/archive/cga/guide/187" TargetMode="External"/><Relationship Id="rId82" Type="http://schemas.openxmlformats.org/officeDocument/2006/relationships/hyperlink" Target="https://spbarchives.ru/infres/-/archive/cga/guide/187" TargetMode="External"/><Relationship Id="rId90" Type="http://schemas.openxmlformats.org/officeDocument/2006/relationships/hyperlink" Target="https://spbarchives.ru/infres/-/archive/cga/guide/187" TargetMode="External"/><Relationship Id="rId95" Type="http://schemas.openxmlformats.org/officeDocument/2006/relationships/hyperlink" Target="https://spbarchives.ru/infres/-/archive/cga/guide/187" TargetMode="External"/><Relationship Id="rId19" Type="http://schemas.openxmlformats.org/officeDocument/2006/relationships/hyperlink" Target="https://spbarchives.ru/infres/-/archive/cga/guide/187" TargetMode="External"/><Relationship Id="rId14" Type="http://schemas.openxmlformats.org/officeDocument/2006/relationships/hyperlink" Target="https://spbarchives.ru/infres/-/archive/cga/guide/187" TargetMode="External"/><Relationship Id="rId22" Type="http://schemas.openxmlformats.org/officeDocument/2006/relationships/hyperlink" Target="https://spbarchives.ru/infres/-/archive/cga/guide/187" TargetMode="External"/><Relationship Id="rId27" Type="http://schemas.openxmlformats.org/officeDocument/2006/relationships/hyperlink" Target="https://spbarchives.ru/infres/-/archive/cga/guide/187" TargetMode="External"/><Relationship Id="rId30" Type="http://schemas.openxmlformats.org/officeDocument/2006/relationships/hyperlink" Target="https://spbarchives.ru/infres/-/archive/cga/guide/187" TargetMode="External"/><Relationship Id="rId35" Type="http://schemas.openxmlformats.org/officeDocument/2006/relationships/hyperlink" Target="https://spbarchives.ru/infres/-/archive/cga/guide/187" TargetMode="External"/><Relationship Id="rId43" Type="http://schemas.openxmlformats.org/officeDocument/2006/relationships/hyperlink" Target="https://spbarchives.ru/infres/-/archive/cga/guide/187" TargetMode="External"/><Relationship Id="rId48" Type="http://schemas.openxmlformats.org/officeDocument/2006/relationships/hyperlink" Target="https://spbarchives.ru/infres/-/archive/cga/guide/187" TargetMode="External"/><Relationship Id="rId56" Type="http://schemas.openxmlformats.org/officeDocument/2006/relationships/hyperlink" Target="https://spbarchives.ru/infres/-/archive/cga/guide/187" TargetMode="External"/><Relationship Id="rId64" Type="http://schemas.openxmlformats.org/officeDocument/2006/relationships/hyperlink" Target="https://spbarchives.ru/infres/-/archive/cga/guide/187" TargetMode="External"/><Relationship Id="rId69" Type="http://schemas.openxmlformats.org/officeDocument/2006/relationships/hyperlink" Target="https://spbarchives.ru/infres/-/archive/cga/guide/187" TargetMode="External"/><Relationship Id="rId77" Type="http://schemas.openxmlformats.org/officeDocument/2006/relationships/hyperlink" Target="https://spbarchives.ru/infres/-/archive/cga/guide/187" TargetMode="External"/><Relationship Id="rId100" Type="http://schemas.openxmlformats.org/officeDocument/2006/relationships/image" Target="media/image1.png"/><Relationship Id="rId105" Type="http://schemas.openxmlformats.org/officeDocument/2006/relationships/hyperlink" Target="https://www.gov.spb.ru/gov/otrasl/archiv_kom/" TargetMode="External"/><Relationship Id="rId8" Type="http://schemas.openxmlformats.org/officeDocument/2006/relationships/hyperlink" Target="https://spbarchives.ru/infres/-/archive/cga/guide/187" TargetMode="External"/><Relationship Id="rId51" Type="http://schemas.openxmlformats.org/officeDocument/2006/relationships/hyperlink" Target="https://spbarchives.ru/infres/-/archive/cga/guide/187" TargetMode="External"/><Relationship Id="rId72" Type="http://schemas.openxmlformats.org/officeDocument/2006/relationships/hyperlink" Target="https://spbarchives.ru/infres/-/archive/cga/guide/187" TargetMode="External"/><Relationship Id="rId80" Type="http://schemas.openxmlformats.org/officeDocument/2006/relationships/hyperlink" Target="https://spbarchives.ru/infres/-/archive/cga/guide/187" TargetMode="External"/><Relationship Id="rId85" Type="http://schemas.openxmlformats.org/officeDocument/2006/relationships/hyperlink" Target="https://spbarchives.ru/infres/-/archive/cga/guide/187" TargetMode="External"/><Relationship Id="rId93" Type="http://schemas.openxmlformats.org/officeDocument/2006/relationships/hyperlink" Target="https://spbarchives.ru/infres/-/archive/cga/guide/187" TargetMode="External"/><Relationship Id="rId98" Type="http://schemas.openxmlformats.org/officeDocument/2006/relationships/hyperlink" Target="https://spbarchives.ru/infres/-/archive/cga/guide/18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pbarchives.ru/infres/-/archive/cga/guide/187" TargetMode="External"/><Relationship Id="rId17" Type="http://schemas.openxmlformats.org/officeDocument/2006/relationships/hyperlink" Target="https://spbarchives.ru/infres/-/archive/cga/guide/187" TargetMode="External"/><Relationship Id="rId25" Type="http://schemas.openxmlformats.org/officeDocument/2006/relationships/hyperlink" Target="https://spbarchives.ru/infres/-/archive/cga/guide/187" TargetMode="External"/><Relationship Id="rId33" Type="http://schemas.openxmlformats.org/officeDocument/2006/relationships/hyperlink" Target="https://spbarchives.ru/infres/-/archive/cga/guide/187" TargetMode="External"/><Relationship Id="rId38" Type="http://schemas.openxmlformats.org/officeDocument/2006/relationships/hyperlink" Target="https://spbarchives.ru/infres/-/archive/cga/guide/187" TargetMode="External"/><Relationship Id="rId46" Type="http://schemas.openxmlformats.org/officeDocument/2006/relationships/hyperlink" Target="https://spbarchives.ru/infres/-/archive/cga/guide/187" TargetMode="External"/><Relationship Id="rId59" Type="http://schemas.openxmlformats.org/officeDocument/2006/relationships/hyperlink" Target="https://spbarchives.ru/infres/-/archive/cga/guide/187" TargetMode="External"/><Relationship Id="rId67" Type="http://schemas.openxmlformats.org/officeDocument/2006/relationships/hyperlink" Target="https://spbarchives.ru/infres/-/archive/cga/guide/187" TargetMode="External"/><Relationship Id="rId103" Type="http://schemas.openxmlformats.org/officeDocument/2006/relationships/hyperlink" Target="https://spbarchives.ru/map" TargetMode="External"/><Relationship Id="rId20" Type="http://schemas.openxmlformats.org/officeDocument/2006/relationships/hyperlink" Target="https://spbarchives.ru/infres/-/archive/cga/guide/187" TargetMode="External"/><Relationship Id="rId41" Type="http://schemas.openxmlformats.org/officeDocument/2006/relationships/hyperlink" Target="https://spbarchives.ru/infres/-/archive/cga/guide/187" TargetMode="External"/><Relationship Id="rId54" Type="http://schemas.openxmlformats.org/officeDocument/2006/relationships/hyperlink" Target="https://spbarchives.ru/infres/-/archive/cga/guide/187" TargetMode="External"/><Relationship Id="rId62" Type="http://schemas.openxmlformats.org/officeDocument/2006/relationships/hyperlink" Target="https://spbarchives.ru/infres/-/archive/cga/guide/187" TargetMode="External"/><Relationship Id="rId70" Type="http://schemas.openxmlformats.org/officeDocument/2006/relationships/hyperlink" Target="https://spbarchives.ru/infres/-/archive/cga/guide/187" TargetMode="External"/><Relationship Id="rId75" Type="http://schemas.openxmlformats.org/officeDocument/2006/relationships/hyperlink" Target="https://spbarchives.ru/infres/-/archive/cga/guide/187" TargetMode="External"/><Relationship Id="rId83" Type="http://schemas.openxmlformats.org/officeDocument/2006/relationships/hyperlink" Target="https://spbarchives.ru/infres/-/archive/cga/guide/187" TargetMode="External"/><Relationship Id="rId88" Type="http://schemas.openxmlformats.org/officeDocument/2006/relationships/hyperlink" Target="https://spbarchives.ru/infres/-/archive/cga/guide/187" TargetMode="External"/><Relationship Id="rId91" Type="http://schemas.openxmlformats.org/officeDocument/2006/relationships/hyperlink" Target="https://spbarchives.ru/infres/-/archive/cga/guide/187" TargetMode="External"/><Relationship Id="rId96" Type="http://schemas.openxmlformats.org/officeDocument/2006/relationships/hyperlink" Target="https://spbarchives.ru/infres/-/archive/cga/guide/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barchives.ru/infres/-/archive/cga/guide/187" TargetMode="External"/><Relationship Id="rId15" Type="http://schemas.openxmlformats.org/officeDocument/2006/relationships/hyperlink" Target="https://spbarchives.ru/infres/-/archive/cga/guide/187" TargetMode="External"/><Relationship Id="rId23" Type="http://schemas.openxmlformats.org/officeDocument/2006/relationships/hyperlink" Target="https://spbarchives.ru/infres/-/archive/cga/guide/187" TargetMode="External"/><Relationship Id="rId28" Type="http://schemas.openxmlformats.org/officeDocument/2006/relationships/hyperlink" Target="https://spbarchives.ru/infres/-/archive/cga/guide/187" TargetMode="External"/><Relationship Id="rId36" Type="http://schemas.openxmlformats.org/officeDocument/2006/relationships/hyperlink" Target="https://spbarchives.ru/infres/-/archive/cga/guide/187" TargetMode="External"/><Relationship Id="rId49" Type="http://schemas.openxmlformats.org/officeDocument/2006/relationships/hyperlink" Target="https://spbarchives.ru/infres/-/archive/cga/guide/187" TargetMode="External"/><Relationship Id="rId57" Type="http://schemas.openxmlformats.org/officeDocument/2006/relationships/hyperlink" Target="https://spbarchives.ru/infres/-/archive/cga/guide/18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spbarchives.ru/infres/-/archive/cga/guide/187" TargetMode="External"/><Relationship Id="rId31" Type="http://schemas.openxmlformats.org/officeDocument/2006/relationships/hyperlink" Target="https://spbarchives.ru/infres/-/archive/cga/guide/187" TargetMode="External"/><Relationship Id="rId44" Type="http://schemas.openxmlformats.org/officeDocument/2006/relationships/hyperlink" Target="https://spbarchives.ru/infres/-/archive/cga/guide/187" TargetMode="External"/><Relationship Id="rId52" Type="http://schemas.openxmlformats.org/officeDocument/2006/relationships/hyperlink" Target="https://spbarchives.ru/infres/-/archive/cga/guide/187" TargetMode="External"/><Relationship Id="rId60" Type="http://schemas.openxmlformats.org/officeDocument/2006/relationships/hyperlink" Target="https://spbarchives.ru/infres/-/archive/cga/guide/187" TargetMode="External"/><Relationship Id="rId65" Type="http://schemas.openxmlformats.org/officeDocument/2006/relationships/hyperlink" Target="https://spbarchives.ru/infres/-/archive/cga/guide/187" TargetMode="External"/><Relationship Id="rId73" Type="http://schemas.openxmlformats.org/officeDocument/2006/relationships/hyperlink" Target="https://spbarchives.ru/infres/-/archive/cga/guide/187" TargetMode="External"/><Relationship Id="rId78" Type="http://schemas.openxmlformats.org/officeDocument/2006/relationships/hyperlink" Target="https://spbarchives.ru/infres/-/archive/cga/guide/187" TargetMode="External"/><Relationship Id="rId81" Type="http://schemas.openxmlformats.org/officeDocument/2006/relationships/hyperlink" Target="https://spbarchives.ru/infres/-/archive/cga/guide/187" TargetMode="External"/><Relationship Id="rId86" Type="http://schemas.openxmlformats.org/officeDocument/2006/relationships/hyperlink" Target="https://spbarchives.ru/infres/-/archive/cga/guide/187" TargetMode="External"/><Relationship Id="rId94" Type="http://schemas.openxmlformats.org/officeDocument/2006/relationships/hyperlink" Target="https://spbarchives.ru/infres/-/archive/cga/guide/187" TargetMode="External"/><Relationship Id="rId99" Type="http://schemas.openxmlformats.org/officeDocument/2006/relationships/hyperlink" Target="https://spbarchives.ru/" TargetMode="External"/><Relationship Id="rId101" Type="http://schemas.openxmlformats.org/officeDocument/2006/relationships/hyperlink" Target="https://spbarchives.ru/user_agre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archives.ru/infres/-/archive/cga/guide/187" TargetMode="External"/><Relationship Id="rId13" Type="http://schemas.openxmlformats.org/officeDocument/2006/relationships/hyperlink" Target="https://spbarchives.ru/infres/-/archive/cga/guide/187" TargetMode="External"/><Relationship Id="rId18" Type="http://schemas.openxmlformats.org/officeDocument/2006/relationships/hyperlink" Target="https://spbarchives.ru/infres/-/archive/cga/guide/187" TargetMode="External"/><Relationship Id="rId39" Type="http://schemas.openxmlformats.org/officeDocument/2006/relationships/hyperlink" Target="https://spbarchives.ru/infres/-/archive/cga/guide/187" TargetMode="External"/><Relationship Id="rId34" Type="http://schemas.openxmlformats.org/officeDocument/2006/relationships/hyperlink" Target="https://spbarchives.ru/infres/-/archive/cga/guide/187" TargetMode="External"/><Relationship Id="rId50" Type="http://schemas.openxmlformats.org/officeDocument/2006/relationships/hyperlink" Target="https://spbarchives.ru/infres/-/archive/cga/guide/187" TargetMode="External"/><Relationship Id="rId55" Type="http://schemas.openxmlformats.org/officeDocument/2006/relationships/hyperlink" Target="https://spbarchives.ru/infres/-/archive/cga/guide/187" TargetMode="External"/><Relationship Id="rId76" Type="http://schemas.openxmlformats.org/officeDocument/2006/relationships/hyperlink" Target="https://spbarchives.ru/infres/-/archive/cga/guide/187" TargetMode="External"/><Relationship Id="rId97" Type="http://schemas.openxmlformats.org/officeDocument/2006/relationships/hyperlink" Target="https://spbarchives.ru/infres/-/archive/cga/guide/187" TargetMode="External"/><Relationship Id="rId104" Type="http://schemas.openxmlformats.org/officeDocument/2006/relationships/hyperlink" Target="https://spbarchives.ru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6337</Words>
  <Characters>36124</Characters>
  <Application>Microsoft Office Word</Application>
  <DocSecurity>0</DocSecurity>
  <Lines>301</Lines>
  <Paragraphs>84</Paragraphs>
  <ScaleCrop>false</ScaleCrop>
  <Company/>
  <LinksUpToDate>false</LinksUpToDate>
  <CharactersWithSpaces>42377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Широкова</cp:lastModifiedBy>
  <cp:revision>4</cp:revision>
  <dcterms:created xsi:type="dcterms:W3CDTF">2022-01-31T12:57:00Z</dcterms:created>
  <dcterms:modified xsi:type="dcterms:W3CDTF">2022-02-10T12:15:00Z</dcterms:modified>
</cp:coreProperties>
</file>